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617" w:rsidRDefault="00730617"/>
    <w:p w:rsidR="00B42C99" w:rsidRDefault="00B42C99"/>
    <w:p w:rsidR="00B42C99" w:rsidRDefault="00B42C99" w:rsidP="00B42C99">
      <w:pPr>
        <w:spacing w:line="240" w:lineRule="auto"/>
        <w:rPr>
          <w:rFonts w:ascii="Segoe UI" w:eastAsia="Times New Roman" w:hAnsi="Segoe UI" w:cs="Segoe UI"/>
          <w:color w:val="000000"/>
          <w:sz w:val="18"/>
          <w:szCs w:val="18"/>
          <w:lang w:eastAsia="es-CO"/>
        </w:rPr>
      </w:pPr>
    </w:p>
    <w:p w:rsidR="00B42C99" w:rsidRPr="00B42C99" w:rsidRDefault="00B42C99" w:rsidP="00B42C99">
      <w:pPr>
        <w:spacing w:line="240" w:lineRule="auto"/>
        <w:jc w:val="center"/>
        <w:rPr>
          <w:rFonts w:ascii="Arial" w:eastAsia="Times New Roman" w:hAnsi="Arial" w:cs="Arial"/>
          <w:color w:val="000000"/>
          <w:sz w:val="18"/>
          <w:szCs w:val="18"/>
          <w:lang w:eastAsia="es-CO"/>
        </w:rPr>
      </w:pPr>
      <w:r w:rsidRPr="00B42C99">
        <w:rPr>
          <w:rFonts w:ascii="Segoe UI" w:eastAsia="Times New Roman" w:hAnsi="Segoe UI" w:cs="Segoe UI"/>
          <w:b/>
          <w:bCs/>
          <w:color w:val="0000FF"/>
          <w:sz w:val="28"/>
          <w:szCs w:val="28"/>
          <w:lang w:eastAsia="es-CO"/>
        </w:rPr>
        <w:t>OFICIO Nº 304 [002782]</w:t>
      </w:r>
    </w:p>
    <w:p w:rsidR="00B42C99" w:rsidRPr="00B42C99" w:rsidRDefault="00B42C99" w:rsidP="00B42C99">
      <w:pPr>
        <w:spacing w:line="240" w:lineRule="auto"/>
        <w:jc w:val="center"/>
        <w:rPr>
          <w:rFonts w:ascii="Arial" w:eastAsia="Times New Roman" w:hAnsi="Arial" w:cs="Arial"/>
          <w:color w:val="000000"/>
          <w:sz w:val="18"/>
          <w:szCs w:val="18"/>
          <w:lang w:eastAsia="es-CO"/>
        </w:rPr>
      </w:pPr>
      <w:r w:rsidRPr="00B42C99">
        <w:rPr>
          <w:rFonts w:ascii="Segoe UI" w:eastAsia="Times New Roman" w:hAnsi="Segoe UI" w:cs="Segoe UI"/>
          <w:b/>
          <w:bCs/>
          <w:color w:val="0000FF"/>
          <w:sz w:val="28"/>
          <w:szCs w:val="28"/>
          <w:lang w:eastAsia="es-CO"/>
        </w:rPr>
        <w:t>05-02-2019</w:t>
      </w:r>
    </w:p>
    <w:p w:rsidR="00B42C99" w:rsidRPr="00B42C99" w:rsidRDefault="00B42C99" w:rsidP="00B42C99">
      <w:pPr>
        <w:spacing w:line="240" w:lineRule="auto"/>
        <w:jc w:val="center"/>
        <w:rPr>
          <w:rFonts w:ascii="Arial" w:eastAsia="Times New Roman" w:hAnsi="Arial" w:cs="Arial"/>
          <w:color w:val="000000"/>
          <w:sz w:val="18"/>
          <w:szCs w:val="18"/>
          <w:lang w:eastAsia="es-CO"/>
        </w:rPr>
      </w:pPr>
      <w:r w:rsidRPr="00B42C99">
        <w:rPr>
          <w:rFonts w:ascii="Segoe UI" w:eastAsia="Times New Roman" w:hAnsi="Segoe UI" w:cs="Segoe UI"/>
          <w:b/>
          <w:bCs/>
          <w:color w:val="0000FF"/>
          <w:sz w:val="28"/>
          <w:szCs w:val="28"/>
          <w:lang w:eastAsia="es-CO"/>
        </w:rPr>
        <w:t>DIAN</w:t>
      </w:r>
    </w:p>
    <w:p w:rsidR="00B42C99" w:rsidRPr="00B42C99" w:rsidRDefault="00B42C99" w:rsidP="00B42C99">
      <w:pPr>
        <w:spacing w:line="240" w:lineRule="auto"/>
        <w:rPr>
          <w:rFonts w:ascii="Arial" w:eastAsia="Times New Roman" w:hAnsi="Arial" w:cs="Arial"/>
          <w:color w:val="000000"/>
          <w:sz w:val="18"/>
          <w:szCs w:val="18"/>
          <w:lang w:eastAsia="es-CO"/>
        </w:rPr>
      </w:pPr>
      <w:r w:rsidRPr="00B42C99">
        <w:rPr>
          <w:rFonts w:ascii="Segoe UI" w:eastAsia="Times New Roman" w:hAnsi="Segoe UI" w:cs="Segoe UI"/>
          <w:b/>
          <w:bCs/>
          <w:color w:val="0000FF"/>
          <w:sz w:val="18"/>
          <w:szCs w:val="18"/>
          <w:lang w:eastAsia="es-CO"/>
        </w:rPr>
        <w:t> </w:t>
      </w:r>
    </w:p>
    <w:p w:rsidR="00B42C99" w:rsidRPr="00B42C99" w:rsidRDefault="00B42C99" w:rsidP="00B42C99">
      <w:pPr>
        <w:spacing w:line="240" w:lineRule="auto"/>
        <w:rPr>
          <w:rFonts w:ascii="Arial" w:eastAsia="Times New Roman" w:hAnsi="Arial" w:cs="Arial"/>
          <w:color w:val="000000"/>
          <w:sz w:val="18"/>
          <w:szCs w:val="18"/>
          <w:lang w:eastAsia="es-CO"/>
        </w:rPr>
      </w:pPr>
      <w:r w:rsidRPr="00B42C99">
        <w:rPr>
          <w:rFonts w:ascii="Segoe UI" w:eastAsia="Times New Roman" w:hAnsi="Segoe UI" w:cs="Segoe UI"/>
          <w:b/>
          <w:bCs/>
          <w:color w:val="0000FF"/>
          <w:sz w:val="18"/>
          <w:szCs w:val="18"/>
          <w:lang w:eastAsia="es-CO"/>
        </w:rPr>
        <w:t> </w:t>
      </w:r>
    </w:p>
    <w:p w:rsidR="00B42C99" w:rsidRPr="00B42C99" w:rsidRDefault="00B42C99" w:rsidP="00B42C99">
      <w:pPr>
        <w:spacing w:line="240" w:lineRule="auto"/>
        <w:rPr>
          <w:rFonts w:ascii="Arial" w:eastAsia="Times New Roman" w:hAnsi="Arial" w:cs="Arial"/>
          <w:color w:val="000000"/>
          <w:sz w:val="18"/>
          <w:szCs w:val="18"/>
          <w:lang w:eastAsia="es-CO"/>
        </w:rPr>
      </w:pPr>
      <w:r w:rsidRPr="00B42C99">
        <w:rPr>
          <w:rFonts w:ascii="Segoe UI" w:eastAsia="Times New Roman" w:hAnsi="Segoe UI" w:cs="Segoe UI"/>
          <w:color w:val="000000"/>
          <w:sz w:val="18"/>
          <w:szCs w:val="18"/>
          <w:lang w:eastAsia="es-CO"/>
        </w:rPr>
        <w:t>Subdirección de Gestión Normativa y Doctrina</w:t>
      </w:r>
    </w:p>
    <w:p w:rsidR="00B42C99" w:rsidRPr="00B42C99" w:rsidRDefault="00B42C99" w:rsidP="00B42C99">
      <w:pPr>
        <w:spacing w:line="240" w:lineRule="auto"/>
        <w:rPr>
          <w:rFonts w:ascii="Arial" w:eastAsia="Times New Roman" w:hAnsi="Arial" w:cs="Arial"/>
          <w:color w:val="000000"/>
          <w:sz w:val="18"/>
          <w:szCs w:val="18"/>
          <w:lang w:eastAsia="es-CO"/>
        </w:rPr>
      </w:pPr>
      <w:r w:rsidRPr="00B42C99">
        <w:rPr>
          <w:rFonts w:ascii="Segoe UI" w:eastAsia="Times New Roman" w:hAnsi="Segoe UI" w:cs="Segoe UI"/>
          <w:color w:val="000000"/>
          <w:sz w:val="18"/>
          <w:szCs w:val="18"/>
          <w:lang w:eastAsia="es-CO"/>
        </w:rPr>
        <w:t>100208221 – 000304</w:t>
      </w:r>
    </w:p>
    <w:p w:rsidR="00B42C99" w:rsidRPr="00B42C99" w:rsidRDefault="00B42C99" w:rsidP="00B42C99">
      <w:pPr>
        <w:spacing w:line="240" w:lineRule="auto"/>
        <w:rPr>
          <w:rFonts w:ascii="Arial" w:eastAsia="Times New Roman" w:hAnsi="Arial" w:cs="Arial"/>
          <w:color w:val="000000"/>
          <w:sz w:val="18"/>
          <w:szCs w:val="18"/>
          <w:lang w:eastAsia="es-CO"/>
        </w:rPr>
      </w:pPr>
      <w:r w:rsidRPr="00B42C99">
        <w:rPr>
          <w:rFonts w:ascii="Segoe UI" w:eastAsia="Times New Roman" w:hAnsi="Segoe UI" w:cs="Segoe UI"/>
          <w:color w:val="000000"/>
          <w:sz w:val="18"/>
          <w:szCs w:val="18"/>
          <w:lang w:eastAsia="es-CO"/>
        </w:rPr>
        <w:t>Bogotá, D.C.</w:t>
      </w:r>
    </w:p>
    <w:p w:rsidR="00B42C99" w:rsidRPr="00B42C99" w:rsidRDefault="00B42C99" w:rsidP="00B42C99">
      <w:pPr>
        <w:spacing w:line="240" w:lineRule="auto"/>
        <w:rPr>
          <w:rFonts w:ascii="Arial" w:eastAsia="Times New Roman" w:hAnsi="Arial" w:cs="Arial"/>
          <w:color w:val="000000"/>
          <w:sz w:val="18"/>
          <w:szCs w:val="18"/>
          <w:lang w:eastAsia="es-CO"/>
        </w:rPr>
      </w:pPr>
      <w:r w:rsidRPr="00B42C99">
        <w:rPr>
          <w:rFonts w:ascii="Segoe UI" w:eastAsia="Times New Roman" w:hAnsi="Segoe UI" w:cs="Segoe UI"/>
          <w:color w:val="000000"/>
          <w:sz w:val="18"/>
          <w:szCs w:val="18"/>
          <w:lang w:eastAsia="es-CO"/>
        </w:rPr>
        <w:t> </w:t>
      </w:r>
    </w:p>
    <w:p w:rsidR="00B42C99" w:rsidRPr="00B42C99" w:rsidRDefault="00B42C99" w:rsidP="00B42C99">
      <w:pPr>
        <w:spacing w:line="240" w:lineRule="auto"/>
        <w:rPr>
          <w:rFonts w:ascii="Arial" w:eastAsia="Times New Roman" w:hAnsi="Arial" w:cs="Arial"/>
          <w:color w:val="000000"/>
          <w:sz w:val="18"/>
          <w:szCs w:val="18"/>
          <w:lang w:eastAsia="es-CO"/>
        </w:rPr>
      </w:pPr>
      <w:proofErr w:type="spellStart"/>
      <w:r w:rsidRPr="00B42C99">
        <w:rPr>
          <w:rFonts w:ascii="Segoe UI" w:eastAsia="Times New Roman" w:hAnsi="Segoe UI" w:cs="Segoe UI"/>
          <w:b/>
          <w:bCs/>
          <w:color w:val="000000"/>
          <w:sz w:val="18"/>
          <w:szCs w:val="18"/>
          <w:lang w:eastAsia="es-CO"/>
        </w:rPr>
        <w:t>Ref</w:t>
      </w:r>
      <w:proofErr w:type="spellEnd"/>
      <w:r w:rsidRPr="00B42C99">
        <w:rPr>
          <w:rFonts w:ascii="Segoe UI" w:eastAsia="Times New Roman" w:hAnsi="Segoe UI" w:cs="Segoe UI"/>
          <w:b/>
          <w:bCs/>
          <w:color w:val="000000"/>
          <w:sz w:val="18"/>
          <w:szCs w:val="18"/>
          <w:lang w:eastAsia="es-CO"/>
        </w:rPr>
        <w:t>:</w:t>
      </w:r>
      <w:r w:rsidRPr="00B42C99">
        <w:rPr>
          <w:rFonts w:ascii="Segoe UI" w:eastAsia="Times New Roman" w:hAnsi="Segoe UI" w:cs="Segoe UI"/>
          <w:color w:val="000000"/>
          <w:sz w:val="18"/>
          <w:szCs w:val="18"/>
          <w:lang w:eastAsia="es-CO"/>
        </w:rPr>
        <w:t> Radicados 030702 del 26/12/2018, 902386 de 05/12/2018, 100081180 de 07/12/2018, 901635 de 30/11/2018, 023952 de 02/10/2018 y 100008600</w:t>
      </w:r>
    </w:p>
    <w:p w:rsidR="00B42C99" w:rsidRPr="00B42C99" w:rsidRDefault="00B42C99" w:rsidP="00B42C99">
      <w:pPr>
        <w:spacing w:line="240" w:lineRule="auto"/>
        <w:rPr>
          <w:rFonts w:ascii="Arial" w:eastAsia="Times New Roman" w:hAnsi="Arial" w:cs="Arial"/>
          <w:color w:val="000000"/>
          <w:sz w:val="18"/>
          <w:szCs w:val="18"/>
          <w:lang w:eastAsia="es-CO"/>
        </w:rPr>
      </w:pPr>
      <w:r w:rsidRPr="00B42C99">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822"/>
        <w:gridCol w:w="271"/>
        <w:gridCol w:w="271"/>
        <w:gridCol w:w="5285"/>
      </w:tblGrid>
      <w:tr w:rsidR="00B42C99" w:rsidRPr="00B42C99" w:rsidTr="00B42C99">
        <w:tc>
          <w:tcPr>
            <w:tcW w:w="0" w:type="auto"/>
            <w:tcBorders>
              <w:top w:val="nil"/>
              <w:left w:val="nil"/>
              <w:bottom w:val="nil"/>
              <w:right w:val="nil"/>
            </w:tcBorders>
            <w:shd w:val="clear" w:color="auto" w:fill="auto"/>
            <w:tcMar>
              <w:top w:w="0" w:type="dxa"/>
              <w:left w:w="108" w:type="dxa"/>
              <w:bottom w:w="0" w:type="dxa"/>
              <w:right w:w="108" w:type="dxa"/>
            </w:tcMar>
            <w:hideMark/>
          </w:tcPr>
          <w:p w:rsidR="00B42C99" w:rsidRPr="00B42C99" w:rsidRDefault="00B42C99" w:rsidP="00B42C99">
            <w:pPr>
              <w:spacing w:line="240" w:lineRule="auto"/>
              <w:rPr>
                <w:rFonts w:ascii="Arial" w:eastAsia="Times New Roman" w:hAnsi="Arial" w:cs="Arial"/>
                <w:szCs w:val="24"/>
                <w:lang w:eastAsia="es-CO"/>
              </w:rPr>
            </w:pPr>
            <w:r w:rsidRPr="00B42C99">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42C99" w:rsidRPr="00B42C99" w:rsidRDefault="00B42C99" w:rsidP="00B42C99">
            <w:pPr>
              <w:spacing w:line="240" w:lineRule="auto"/>
              <w:rPr>
                <w:rFonts w:ascii="Arial" w:eastAsia="Times New Roman" w:hAnsi="Arial" w:cs="Arial"/>
                <w:szCs w:val="24"/>
                <w:lang w:eastAsia="es-CO"/>
              </w:rPr>
            </w:pPr>
            <w:r w:rsidRPr="00B42C99">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42C99" w:rsidRPr="00B42C99" w:rsidRDefault="00B42C99" w:rsidP="00B42C99">
            <w:pPr>
              <w:spacing w:line="240" w:lineRule="auto"/>
              <w:rPr>
                <w:rFonts w:ascii="Arial" w:eastAsia="Times New Roman" w:hAnsi="Arial" w:cs="Arial"/>
                <w:szCs w:val="24"/>
                <w:lang w:eastAsia="es-CO"/>
              </w:rPr>
            </w:pPr>
            <w:r w:rsidRPr="00B42C99">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42C99" w:rsidRPr="00B42C99" w:rsidRDefault="00B42C99" w:rsidP="00B42C99">
            <w:pPr>
              <w:spacing w:line="240" w:lineRule="auto"/>
              <w:rPr>
                <w:rFonts w:ascii="Arial" w:eastAsia="Times New Roman" w:hAnsi="Arial" w:cs="Arial"/>
                <w:szCs w:val="24"/>
                <w:lang w:eastAsia="es-CO"/>
              </w:rPr>
            </w:pPr>
            <w:r w:rsidRPr="00B42C99">
              <w:rPr>
                <w:rFonts w:ascii="Segoe UI" w:eastAsia="Times New Roman" w:hAnsi="Segoe UI" w:cs="Segoe UI"/>
                <w:sz w:val="20"/>
                <w:szCs w:val="20"/>
                <w:lang w:eastAsia="es-CO"/>
              </w:rPr>
              <w:t>Impuesto sobre la Renta y Complementarios</w:t>
            </w:r>
          </w:p>
        </w:tc>
      </w:tr>
      <w:tr w:rsidR="00B42C99" w:rsidRPr="00B42C99" w:rsidTr="00B42C99">
        <w:tc>
          <w:tcPr>
            <w:tcW w:w="0" w:type="auto"/>
            <w:tcBorders>
              <w:top w:val="nil"/>
              <w:left w:val="nil"/>
              <w:bottom w:val="nil"/>
              <w:right w:val="nil"/>
            </w:tcBorders>
            <w:shd w:val="clear" w:color="auto" w:fill="auto"/>
            <w:tcMar>
              <w:top w:w="0" w:type="dxa"/>
              <w:left w:w="108" w:type="dxa"/>
              <w:bottom w:w="0" w:type="dxa"/>
              <w:right w:w="108" w:type="dxa"/>
            </w:tcMar>
            <w:hideMark/>
          </w:tcPr>
          <w:p w:rsidR="00B42C99" w:rsidRPr="00B42C99" w:rsidRDefault="00B42C99" w:rsidP="00B42C99">
            <w:pPr>
              <w:spacing w:line="240" w:lineRule="auto"/>
              <w:rPr>
                <w:rFonts w:ascii="Arial" w:eastAsia="Times New Roman" w:hAnsi="Arial" w:cs="Arial"/>
                <w:szCs w:val="24"/>
                <w:lang w:eastAsia="es-CO"/>
              </w:rPr>
            </w:pPr>
            <w:r w:rsidRPr="00B42C99">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42C99" w:rsidRPr="00B42C99" w:rsidRDefault="00B42C99" w:rsidP="00B42C99">
            <w:pPr>
              <w:spacing w:line="240" w:lineRule="auto"/>
              <w:rPr>
                <w:rFonts w:ascii="Arial" w:eastAsia="Times New Roman" w:hAnsi="Arial" w:cs="Arial"/>
                <w:szCs w:val="24"/>
                <w:lang w:eastAsia="es-CO"/>
              </w:rPr>
            </w:pPr>
            <w:r w:rsidRPr="00B42C99">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42C99" w:rsidRPr="00B42C99" w:rsidRDefault="00B42C99" w:rsidP="00B42C99">
            <w:pPr>
              <w:spacing w:line="240" w:lineRule="auto"/>
              <w:rPr>
                <w:rFonts w:ascii="Arial" w:eastAsia="Times New Roman" w:hAnsi="Arial" w:cs="Arial"/>
                <w:szCs w:val="24"/>
                <w:lang w:eastAsia="es-CO"/>
              </w:rPr>
            </w:pPr>
            <w:r w:rsidRPr="00B42C99">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42C99" w:rsidRPr="00B42C99" w:rsidRDefault="00B42C99" w:rsidP="00B42C99">
            <w:pPr>
              <w:spacing w:line="240" w:lineRule="auto"/>
              <w:rPr>
                <w:rFonts w:ascii="Arial" w:eastAsia="Times New Roman" w:hAnsi="Arial" w:cs="Arial"/>
                <w:szCs w:val="24"/>
                <w:lang w:eastAsia="es-CO"/>
              </w:rPr>
            </w:pPr>
            <w:r w:rsidRPr="00B42C99">
              <w:rPr>
                <w:rFonts w:ascii="Segoe UI" w:eastAsia="Times New Roman" w:hAnsi="Segoe UI" w:cs="Segoe UI"/>
                <w:sz w:val="20"/>
                <w:szCs w:val="20"/>
                <w:lang w:eastAsia="es-CO"/>
              </w:rPr>
              <w:t>Ingresos no Constitutivos de Renta ni Ganancia Ocasional</w:t>
            </w:r>
          </w:p>
        </w:tc>
      </w:tr>
      <w:tr w:rsidR="00B42C99" w:rsidRPr="00B42C99" w:rsidTr="00B42C99">
        <w:tc>
          <w:tcPr>
            <w:tcW w:w="0" w:type="auto"/>
            <w:tcBorders>
              <w:top w:val="nil"/>
              <w:left w:val="nil"/>
              <w:bottom w:val="nil"/>
              <w:right w:val="nil"/>
            </w:tcBorders>
            <w:shd w:val="clear" w:color="auto" w:fill="auto"/>
            <w:tcMar>
              <w:top w:w="0" w:type="dxa"/>
              <w:left w:w="108" w:type="dxa"/>
              <w:bottom w:w="0" w:type="dxa"/>
              <w:right w:w="108" w:type="dxa"/>
            </w:tcMar>
            <w:hideMark/>
          </w:tcPr>
          <w:p w:rsidR="00B42C99" w:rsidRPr="00B42C99" w:rsidRDefault="00B42C99" w:rsidP="00B42C99">
            <w:pPr>
              <w:spacing w:line="240" w:lineRule="auto"/>
              <w:rPr>
                <w:rFonts w:ascii="Arial" w:eastAsia="Times New Roman" w:hAnsi="Arial" w:cs="Arial"/>
                <w:szCs w:val="24"/>
                <w:lang w:eastAsia="es-CO"/>
              </w:rPr>
            </w:pPr>
            <w:r w:rsidRPr="00B42C99">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42C99" w:rsidRPr="00B42C99" w:rsidRDefault="00B42C99" w:rsidP="00B42C99">
            <w:pPr>
              <w:spacing w:line="240" w:lineRule="auto"/>
              <w:rPr>
                <w:rFonts w:ascii="Arial" w:eastAsia="Times New Roman" w:hAnsi="Arial" w:cs="Arial"/>
                <w:szCs w:val="24"/>
                <w:lang w:eastAsia="es-CO"/>
              </w:rPr>
            </w:pPr>
            <w:r w:rsidRPr="00B42C99">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42C99" w:rsidRPr="00B42C99" w:rsidRDefault="00B42C99" w:rsidP="00B42C99">
            <w:pPr>
              <w:spacing w:line="240" w:lineRule="auto"/>
              <w:rPr>
                <w:rFonts w:ascii="Arial" w:eastAsia="Times New Roman" w:hAnsi="Arial" w:cs="Arial"/>
                <w:szCs w:val="24"/>
                <w:lang w:eastAsia="es-CO"/>
              </w:rPr>
            </w:pPr>
            <w:r w:rsidRPr="00B42C99">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42C99" w:rsidRPr="00B42C99" w:rsidRDefault="00B42C99" w:rsidP="00B42C99">
            <w:pPr>
              <w:spacing w:line="240" w:lineRule="auto"/>
              <w:rPr>
                <w:rFonts w:ascii="Arial" w:eastAsia="Times New Roman" w:hAnsi="Arial" w:cs="Arial"/>
                <w:szCs w:val="24"/>
                <w:lang w:eastAsia="es-CO"/>
              </w:rPr>
            </w:pPr>
            <w:r w:rsidRPr="00B42C99">
              <w:rPr>
                <w:rFonts w:ascii="Segoe UI" w:eastAsia="Times New Roman" w:hAnsi="Segoe UI" w:cs="Segoe UI"/>
                <w:sz w:val="20"/>
                <w:szCs w:val="20"/>
                <w:lang w:eastAsia="es-CO"/>
              </w:rPr>
              <w:t>Artículo 99 de la Ley 111 de 1993</w:t>
            </w:r>
          </w:p>
          <w:p w:rsidR="00B42C99" w:rsidRPr="00B42C99" w:rsidRDefault="00B42C99" w:rsidP="00B42C99">
            <w:pPr>
              <w:spacing w:line="240" w:lineRule="auto"/>
              <w:rPr>
                <w:rFonts w:ascii="Arial" w:eastAsia="Times New Roman" w:hAnsi="Arial" w:cs="Arial"/>
                <w:szCs w:val="24"/>
                <w:lang w:eastAsia="es-CO"/>
              </w:rPr>
            </w:pPr>
            <w:r w:rsidRPr="00B42C99">
              <w:rPr>
                <w:rFonts w:ascii="Segoe UI" w:eastAsia="Times New Roman" w:hAnsi="Segoe UI" w:cs="Segoe UI"/>
                <w:sz w:val="20"/>
                <w:szCs w:val="20"/>
                <w:lang w:eastAsia="es-CO"/>
              </w:rPr>
              <w:t>Artículo 67 de la Ley 388 de 1997</w:t>
            </w:r>
          </w:p>
          <w:p w:rsidR="00B42C99" w:rsidRPr="00B42C99" w:rsidRDefault="00B42C99" w:rsidP="00B42C99">
            <w:pPr>
              <w:spacing w:line="240" w:lineRule="auto"/>
              <w:rPr>
                <w:rFonts w:ascii="Arial" w:eastAsia="Times New Roman" w:hAnsi="Arial" w:cs="Arial"/>
                <w:szCs w:val="24"/>
                <w:lang w:eastAsia="es-CO"/>
              </w:rPr>
            </w:pPr>
            <w:r w:rsidRPr="00B42C99">
              <w:rPr>
                <w:rFonts w:ascii="Segoe UI" w:eastAsia="Times New Roman" w:hAnsi="Segoe UI" w:cs="Segoe UI"/>
                <w:sz w:val="20"/>
                <w:szCs w:val="20"/>
                <w:lang w:eastAsia="es-CO"/>
              </w:rPr>
              <w:t>Artículo 210 de la Ley 1450 de 2011</w:t>
            </w:r>
          </w:p>
          <w:p w:rsidR="00B42C99" w:rsidRPr="00B42C99" w:rsidRDefault="00B42C99" w:rsidP="00B42C99">
            <w:pPr>
              <w:spacing w:line="240" w:lineRule="auto"/>
              <w:rPr>
                <w:rFonts w:ascii="Arial" w:eastAsia="Times New Roman" w:hAnsi="Arial" w:cs="Arial"/>
                <w:szCs w:val="24"/>
                <w:lang w:eastAsia="es-CO"/>
              </w:rPr>
            </w:pPr>
            <w:r w:rsidRPr="00B42C99">
              <w:rPr>
                <w:rFonts w:ascii="Segoe UI" w:eastAsia="Times New Roman" w:hAnsi="Segoe UI" w:cs="Segoe UI"/>
                <w:sz w:val="20"/>
                <w:szCs w:val="20"/>
                <w:lang w:eastAsia="es-CO"/>
              </w:rPr>
              <w:t>Decreto No. 0953 de 2013</w:t>
            </w:r>
          </w:p>
          <w:p w:rsidR="00B42C99" w:rsidRPr="00B42C99" w:rsidRDefault="00B42C99" w:rsidP="00B42C99">
            <w:pPr>
              <w:spacing w:line="240" w:lineRule="auto"/>
              <w:rPr>
                <w:rFonts w:ascii="Arial" w:eastAsia="Times New Roman" w:hAnsi="Arial" w:cs="Arial"/>
                <w:szCs w:val="24"/>
                <w:lang w:eastAsia="es-CO"/>
              </w:rPr>
            </w:pPr>
            <w:r w:rsidRPr="00B42C99">
              <w:rPr>
                <w:rFonts w:ascii="Segoe UI" w:eastAsia="Times New Roman" w:hAnsi="Segoe UI" w:cs="Segoe UI"/>
                <w:sz w:val="20"/>
                <w:szCs w:val="20"/>
                <w:lang w:eastAsia="es-CO"/>
              </w:rPr>
              <w:t>Decreto Único Reglamentario 1076 de 2015</w:t>
            </w:r>
          </w:p>
          <w:p w:rsidR="00B42C99" w:rsidRPr="00B42C99" w:rsidRDefault="00B42C99" w:rsidP="00B42C99">
            <w:pPr>
              <w:spacing w:line="240" w:lineRule="auto"/>
              <w:rPr>
                <w:rFonts w:ascii="Arial" w:eastAsia="Times New Roman" w:hAnsi="Arial" w:cs="Arial"/>
                <w:szCs w:val="24"/>
                <w:lang w:eastAsia="es-CO"/>
              </w:rPr>
            </w:pPr>
            <w:r w:rsidRPr="00B42C99">
              <w:rPr>
                <w:rFonts w:ascii="Segoe UI" w:eastAsia="Times New Roman" w:hAnsi="Segoe UI" w:cs="Segoe UI"/>
                <w:sz w:val="20"/>
                <w:szCs w:val="20"/>
                <w:lang w:eastAsia="es-CO"/>
              </w:rPr>
              <w:t>Concepto No. 070056 del 18 de agosto de 2006</w:t>
            </w:r>
          </w:p>
        </w:tc>
      </w:tr>
    </w:tbl>
    <w:p w:rsidR="00B42C99" w:rsidRPr="00B42C99" w:rsidRDefault="00B42C99" w:rsidP="00B42C99">
      <w:pPr>
        <w:spacing w:line="240" w:lineRule="auto"/>
        <w:rPr>
          <w:rFonts w:ascii="Arial" w:eastAsia="Times New Roman" w:hAnsi="Arial" w:cs="Arial"/>
          <w:color w:val="000000"/>
          <w:sz w:val="18"/>
          <w:szCs w:val="18"/>
          <w:lang w:eastAsia="es-CO"/>
        </w:rPr>
      </w:pPr>
      <w:r w:rsidRPr="00B42C99">
        <w:rPr>
          <w:rFonts w:ascii="Segoe UI" w:eastAsia="Times New Roman" w:hAnsi="Segoe UI" w:cs="Segoe UI"/>
          <w:color w:val="000000"/>
          <w:sz w:val="18"/>
          <w:szCs w:val="18"/>
          <w:lang w:eastAsia="es-CO"/>
        </w:rPr>
        <w:t> </w:t>
      </w:r>
    </w:p>
    <w:p w:rsidR="00B42C99" w:rsidRPr="00B42C99" w:rsidRDefault="00B42C99" w:rsidP="00B42C99">
      <w:pPr>
        <w:spacing w:line="240" w:lineRule="auto"/>
        <w:rPr>
          <w:rFonts w:ascii="Arial" w:eastAsia="Times New Roman" w:hAnsi="Arial" w:cs="Arial"/>
          <w:color w:val="000000"/>
          <w:sz w:val="18"/>
          <w:szCs w:val="18"/>
          <w:lang w:eastAsia="es-CO"/>
        </w:rPr>
      </w:pPr>
      <w:r w:rsidRPr="00B42C99">
        <w:rPr>
          <w:rFonts w:ascii="Segoe UI" w:eastAsia="Times New Roman" w:hAnsi="Segoe UI" w:cs="Segoe UI"/>
          <w:color w:val="000000"/>
          <w:sz w:val="18"/>
          <w:szCs w:val="18"/>
          <w:lang w:eastAsia="es-CO"/>
        </w:rPr>
        <w:t> </w:t>
      </w:r>
    </w:p>
    <w:p w:rsidR="00B42C99" w:rsidRPr="00B42C99" w:rsidRDefault="00B42C99" w:rsidP="00B42C99">
      <w:pPr>
        <w:spacing w:line="240" w:lineRule="auto"/>
        <w:rPr>
          <w:rFonts w:ascii="Arial" w:eastAsia="Times New Roman" w:hAnsi="Arial" w:cs="Arial"/>
          <w:color w:val="000000"/>
          <w:sz w:val="18"/>
          <w:szCs w:val="18"/>
          <w:lang w:eastAsia="es-CO"/>
        </w:rPr>
      </w:pPr>
      <w:r w:rsidRPr="00B42C99">
        <w:rPr>
          <w:rFonts w:ascii="Segoe UI" w:eastAsia="Times New Roman" w:hAnsi="Segoe UI" w:cs="Segoe UI"/>
          <w:color w:val="000000"/>
          <w:sz w:val="18"/>
          <w:szCs w:val="18"/>
          <w:lang w:eastAsia="es-CO"/>
        </w:rPr>
        <w:t>Estimada señora Jenny Marcela Peñaranda Santos:</w:t>
      </w:r>
    </w:p>
    <w:p w:rsidR="00B42C99" w:rsidRPr="00B42C99" w:rsidRDefault="00B42C99" w:rsidP="00B42C99">
      <w:pPr>
        <w:spacing w:line="240" w:lineRule="auto"/>
        <w:rPr>
          <w:rFonts w:ascii="Arial" w:eastAsia="Times New Roman" w:hAnsi="Arial" w:cs="Arial"/>
          <w:color w:val="000000"/>
          <w:sz w:val="18"/>
          <w:szCs w:val="18"/>
          <w:lang w:eastAsia="es-CO"/>
        </w:rPr>
      </w:pPr>
      <w:r w:rsidRPr="00B42C99">
        <w:rPr>
          <w:rFonts w:ascii="Segoe UI" w:eastAsia="Times New Roman" w:hAnsi="Segoe UI" w:cs="Segoe UI"/>
          <w:color w:val="000000"/>
          <w:sz w:val="18"/>
          <w:szCs w:val="18"/>
          <w:lang w:eastAsia="es-CO"/>
        </w:rPr>
        <w:t> </w:t>
      </w:r>
    </w:p>
    <w:p w:rsidR="00B42C99" w:rsidRPr="00B42C99" w:rsidRDefault="00B42C99" w:rsidP="00B42C99">
      <w:pPr>
        <w:spacing w:line="240" w:lineRule="auto"/>
        <w:rPr>
          <w:rFonts w:ascii="Arial" w:eastAsia="Times New Roman" w:hAnsi="Arial" w:cs="Arial"/>
          <w:color w:val="000000"/>
          <w:sz w:val="18"/>
          <w:szCs w:val="18"/>
          <w:lang w:eastAsia="es-CO"/>
        </w:rPr>
      </w:pPr>
      <w:r w:rsidRPr="00B42C99">
        <w:rPr>
          <w:rFonts w:ascii="Segoe UI" w:eastAsia="Times New Roman" w:hAnsi="Segoe UI" w:cs="Segoe UI"/>
          <w:color w:val="000000"/>
          <w:sz w:val="18"/>
          <w:szCs w:val="18"/>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B42C99" w:rsidRPr="00B42C99" w:rsidRDefault="00B42C99" w:rsidP="00B42C99">
      <w:pPr>
        <w:spacing w:line="240" w:lineRule="auto"/>
        <w:rPr>
          <w:rFonts w:ascii="Arial" w:eastAsia="Times New Roman" w:hAnsi="Arial" w:cs="Arial"/>
          <w:color w:val="000000"/>
          <w:sz w:val="18"/>
          <w:szCs w:val="18"/>
          <w:lang w:eastAsia="es-CO"/>
        </w:rPr>
      </w:pPr>
      <w:r w:rsidRPr="00B42C99">
        <w:rPr>
          <w:rFonts w:ascii="Segoe UI" w:eastAsia="Times New Roman" w:hAnsi="Segoe UI" w:cs="Segoe UI"/>
          <w:color w:val="000000"/>
          <w:sz w:val="18"/>
          <w:szCs w:val="18"/>
          <w:lang w:eastAsia="es-CO"/>
        </w:rPr>
        <w:t> </w:t>
      </w:r>
    </w:p>
    <w:p w:rsidR="00B42C99" w:rsidRPr="00B42C99" w:rsidRDefault="00B42C99" w:rsidP="00B42C99">
      <w:pPr>
        <w:spacing w:line="240" w:lineRule="auto"/>
        <w:rPr>
          <w:rFonts w:ascii="Arial" w:eastAsia="Times New Roman" w:hAnsi="Arial" w:cs="Arial"/>
          <w:color w:val="000000"/>
          <w:sz w:val="18"/>
          <w:szCs w:val="18"/>
          <w:lang w:eastAsia="es-CO"/>
        </w:rPr>
      </w:pPr>
      <w:r w:rsidRPr="00B42C99">
        <w:rPr>
          <w:rFonts w:ascii="Segoe UI" w:eastAsia="Times New Roman" w:hAnsi="Segoe UI" w:cs="Segoe UI"/>
          <w:color w:val="000000"/>
          <w:sz w:val="18"/>
          <w:szCs w:val="18"/>
          <w:lang w:eastAsia="es-CO"/>
        </w:rPr>
        <w:t>Previo a analizar la consulta planteada, consideramos necesario explicar que, de acuerdo con las competencias funcionales de este despacho los pronunciamientos emitidos en respuesta a peticiones allegadas se resuelven con base a criterios legales de interpretación de las normas jurídicas, los cuales se encuentran consagrados en el Código Civil.</w:t>
      </w:r>
    </w:p>
    <w:p w:rsidR="00B42C99" w:rsidRPr="00B42C99" w:rsidRDefault="00B42C99" w:rsidP="00B42C99">
      <w:pPr>
        <w:spacing w:line="240" w:lineRule="auto"/>
        <w:rPr>
          <w:rFonts w:ascii="Arial" w:eastAsia="Times New Roman" w:hAnsi="Arial" w:cs="Arial"/>
          <w:color w:val="000000"/>
          <w:sz w:val="18"/>
          <w:szCs w:val="18"/>
          <w:lang w:eastAsia="es-CO"/>
        </w:rPr>
      </w:pPr>
      <w:r w:rsidRPr="00B42C99">
        <w:rPr>
          <w:rFonts w:ascii="Segoe UI" w:eastAsia="Times New Roman" w:hAnsi="Segoe UI" w:cs="Segoe UI"/>
          <w:color w:val="000000"/>
          <w:sz w:val="18"/>
          <w:szCs w:val="18"/>
          <w:lang w:eastAsia="es-CO"/>
        </w:rPr>
        <w:t> </w:t>
      </w:r>
    </w:p>
    <w:p w:rsidR="00B42C99" w:rsidRPr="00B42C99" w:rsidRDefault="00B42C99" w:rsidP="00B42C99">
      <w:pPr>
        <w:spacing w:line="240" w:lineRule="auto"/>
        <w:rPr>
          <w:rFonts w:ascii="Arial" w:eastAsia="Times New Roman" w:hAnsi="Arial" w:cs="Arial"/>
          <w:color w:val="000000"/>
          <w:sz w:val="18"/>
          <w:szCs w:val="18"/>
          <w:lang w:eastAsia="es-CO"/>
        </w:rPr>
      </w:pPr>
      <w:r w:rsidRPr="00B42C99">
        <w:rPr>
          <w:rFonts w:ascii="Segoe UI" w:eastAsia="Times New Roman" w:hAnsi="Segoe UI" w:cs="Segoe UI"/>
          <w:color w:val="000000"/>
          <w:sz w:val="18"/>
          <w:szCs w:val="18"/>
          <w:lang w:eastAsia="es-CO"/>
        </w:rPr>
        <w:t>Así mismo, las respuestas emitidas son una adecuación en abstracto de las normas vigentes a situaciones concretas, las cuales no tienen como fin solucionar problemáticas individuales, ni juzgar, valorar o asesorar a otras dependencias, entidades públicas y/o privadas en el desarrollo de sus actividades, funciones y competencias.</w:t>
      </w:r>
    </w:p>
    <w:p w:rsidR="00B42C99" w:rsidRPr="00B42C99" w:rsidRDefault="00B42C99" w:rsidP="00B42C99">
      <w:pPr>
        <w:spacing w:line="240" w:lineRule="auto"/>
        <w:rPr>
          <w:rFonts w:ascii="Arial" w:eastAsia="Times New Roman" w:hAnsi="Arial" w:cs="Arial"/>
          <w:color w:val="000000"/>
          <w:sz w:val="18"/>
          <w:szCs w:val="18"/>
          <w:lang w:eastAsia="es-CO"/>
        </w:rPr>
      </w:pPr>
      <w:r w:rsidRPr="00B42C99">
        <w:rPr>
          <w:rFonts w:ascii="Segoe UI" w:eastAsia="Times New Roman" w:hAnsi="Segoe UI" w:cs="Segoe UI"/>
          <w:color w:val="000000"/>
          <w:sz w:val="18"/>
          <w:szCs w:val="18"/>
          <w:lang w:eastAsia="es-CO"/>
        </w:rPr>
        <w:t> </w:t>
      </w:r>
    </w:p>
    <w:p w:rsidR="00B42C99" w:rsidRPr="00B42C99" w:rsidRDefault="00B42C99" w:rsidP="00B42C99">
      <w:pPr>
        <w:spacing w:line="240" w:lineRule="auto"/>
        <w:rPr>
          <w:rFonts w:ascii="Arial" w:eastAsia="Times New Roman" w:hAnsi="Arial" w:cs="Arial"/>
          <w:color w:val="000000"/>
          <w:sz w:val="18"/>
          <w:szCs w:val="18"/>
          <w:lang w:eastAsia="es-CO"/>
        </w:rPr>
      </w:pPr>
      <w:r w:rsidRPr="00B42C99">
        <w:rPr>
          <w:rFonts w:ascii="Segoe UI" w:eastAsia="Times New Roman" w:hAnsi="Segoe UI" w:cs="Segoe UI"/>
          <w:color w:val="000000"/>
          <w:sz w:val="18"/>
          <w:szCs w:val="18"/>
          <w:lang w:eastAsia="es-CO"/>
        </w:rPr>
        <w:t>Mediante Radicados 030702 del 26/12/18, 902386 de 05/12/18, 100081180 de 07/12/2018, 901635 de 30/11/18 y 023952 de 02/10/18 esta Subdirección recibió una consulta por medio de la cual se solicita resolver la siguiente pregunta: relacionada con la residencia cambiaria:</w:t>
      </w:r>
    </w:p>
    <w:p w:rsidR="00B42C99" w:rsidRPr="00B42C99" w:rsidRDefault="00B42C99" w:rsidP="00B42C99">
      <w:pPr>
        <w:spacing w:line="240" w:lineRule="auto"/>
        <w:ind w:left="180"/>
        <w:rPr>
          <w:rFonts w:ascii="Arial" w:eastAsia="Times New Roman" w:hAnsi="Arial" w:cs="Arial"/>
          <w:color w:val="000000"/>
          <w:sz w:val="18"/>
          <w:szCs w:val="18"/>
          <w:lang w:eastAsia="es-CO"/>
        </w:rPr>
      </w:pPr>
      <w:r w:rsidRPr="00B42C99">
        <w:rPr>
          <w:rFonts w:ascii="Segoe UI" w:eastAsia="Times New Roman" w:hAnsi="Segoe UI" w:cs="Segoe UI"/>
          <w:i/>
          <w:iCs/>
          <w:color w:val="000000"/>
          <w:sz w:val="18"/>
          <w:szCs w:val="18"/>
          <w:lang w:eastAsia="es-CO"/>
        </w:rPr>
        <w:t> </w:t>
      </w:r>
    </w:p>
    <w:p w:rsidR="00B42C99" w:rsidRPr="00B42C99" w:rsidRDefault="00B42C99" w:rsidP="00B42C99">
      <w:pPr>
        <w:spacing w:line="240" w:lineRule="auto"/>
        <w:ind w:left="180"/>
        <w:rPr>
          <w:rFonts w:ascii="Arial" w:eastAsia="Times New Roman" w:hAnsi="Arial" w:cs="Arial"/>
          <w:color w:val="000000"/>
          <w:sz w:val="18"/>
          <w:szCs w:val="18"/>
          <w:lang w:eastAsia="es-CO"/>
        </w:rPr>
      </w:pPr>
      <w:r w:rsidRPr="00B42C99">
        <w:rPr>
          <w:rFonts w:ascii="Segoe UI" w:eastAsia="Times New Roman" w:hAnsi="Segoe UI" w:cs="Segoe UI"/>
          <w:i/>
          <w:iCs/>
          <w:color w:val="000000"/>
          <w:sz w:val="18"/>
          <w:szCs w:val="18"/>
          <w:lang w:eastAsia="es-CO"/>
        </w:rPr>
        <w:t>“¿Si la venta que le hace un particular al Municipio mediante la enajenación voluntaria, con el fin de dar cumplimiento al artículo 111 de la Ley 99 de 1993, modificado por el artículo 210 de la Ley 1450 de 2011, reglamentado por el Decreto 0953 de 2013, está exenta SI o NO del impuesto de la ganancia ocasional para el vendedor?”</w:t>
      </w:r>
    </w:p>
    <w:p w:rsidR="00B42C99" w:rsidRPr="00B42C99" w:rsidRDefault="00B42C99" w:rsidP="00B42C99">
      <w:pPr>
        <w:spacing w:line="240" w:lineRule="auto"/>
        <w:rPr>
          <w:rFonts w:ascii="Arial" w:eastAsia="Times New Roman" w:hAnsi="Arial" w:cs="Arial"/>
          <w:color w:val="000000"/>
          <w:sz w:val="18"/>
          <w:szCs w:val="18"/>
          <w:lang w:eastAsia="es-CO"/>
        </w:rPr>
      </w:pPr>
      <w:r w:rsidRPr="00B42C99">
        <w:rPr>
          <w:rFonts w:ascii="Segoe UI" w:eastAsia="Times New Roman" w:hAnsi="Segoe UI" w:cs="Segoe UI"/>
          <w:color w:val="000000"/>
          <w:sz w:val="18"/>
          <w:szCs w:val="18"/>
          <w:lang w:eastAsia="es-CO"/>
        </w:rPr>
        <w:t> </w:t>
      </w:r>
    </w:p>
    <w:p w:rsidR="00B42C99" w:rsidRPr="00B42C99" w:rsidRDefault="00B42C99" w:rsidP="00B42C99">
      <w:pPr>
        <w:spacing w:line="240" w:lineRule="auto"/>
        <w:rPr>
          <w:rFonts w:ascii="Arial" w:eastAsia="Times New Roman" w:hAnsi="Arial" w:cs="Arial"/>
          <w:color w:val="000000"/>
          <w:sz w:val="18"/>
          <w:szCs w:val="18"/>
          <w:lang w:eastAsia="es-CO"/>
        </w:rPr>
      </w:pPr>
      <w:r w:rsidRPr="00B42C99">
        <w:rPr>
          <w:rFonts w:ascii="Segoe UI" w:eastAsia="Times New Roman" w:hAnsi="Segoe UI" w:cs="Segoe UI"/>
          <w:color w:val="000000"/>
          <w:sz w:val="18"/>
          <w:szCs w:val="18"/>
          <w:lang w:eastAsia="es-CO"/>
        </w:rPr>
        <w:t>En atención a la consulta, se procede a analizar las siguientes consideraciones:</w:t>
      </w:r>
    </w:p>
    <w:p w:rsidR="00B42C99" w:rsidRPr="00B42C99" w:rsidRDefault="00B42C99" w:rsidP="00B42C99">
      <w:pPr>
        <w:spacing w:line="240" w:lineRule="auto"/>
        <w:rPr>
          <w:rFonts w:ascii="Arial" w:eastAsia="Times New Roman" w:hAnsi="Arial" w:cs="Arial"/>
          <w:color w:val="000000"/>
          <w:sz w:val="18"/>
          <w:szCs w:val="18"/>
          <w:lang w:eastAsia="es-CO"/>
        </w:rPr>
      </w:pPr>
      <w:r w:rsidRPr="00B42C99">
        <w:rPr>
          <w:rFonts w:ascii="Segoe UI" w:eastAsia="Times New Roman" w:hAnsi="Segoe UI" w:cs="Segoe UI"/>
          <w:color w:val="000000"/>
          <w:sz w:val="18"/>
          <w:szCs w:val="18"/>
          <w:lang w:eastAsia="es-CO"/>
        </w:rPr>
        <w:t> </w:t>
      </w:r>
    </w:p>
    <w:p w:rsidR="00B42C99" w:rsidRPr="00B42C99" w:rsidRDefault="00B42C99" w:rsidP="00B42C99">
      <w:pPr>
        <w:spacing w:line="240" w:lineRule="auto"/>
        <w:rPr>
          <w:rFonts w:ascii="Arial" w:eastAsia="Times New Roman" w:hAnsi="Arial" w:cs="Arial"/>
          <w:color w:val="000000"/>
          <w:sz w:val="18"/>
          <w:szCs w:val="18"/>
          <w:lang w:eastAsia="es-CO"/>
        </w:rPr>
      </w:pPr>
      <w:r w:rsidRPr="00B42C99">
        <w:rPr>
          <w:rFonts w:ascii="Segoe UI" w:eastAsia="Times New Roman" w:hAnsi="Segoe UI" w:cs="Segoe UI"/>
          <w:b/>
          <w:bCs/>
          <w:color w:val="000000"/>
          <w:sz w:val="18"/>
          <w:szCs w:val="18"/>
          <w:lang w:eastAsia="es-CO"/>
        </w:rPr>
        <w:t>1. </w:t>
      </w:r>
      <w:r w:rsidRPr="00B42C99">
        <w:rPr>
          <w:rFonts w:ascii="Segoe UI" w:eastAsia="Times New Roman" w:hAnsi="Segoe UI" w:cs="Segoe UI"/>
          <w:b/>
          <w:bCs/>
          <w:color w:val="000000"/>
          <w:sz w:val="18"/>
          <w:szCs w:val="18"/>
          <w:u w:val="single"/>
          <w:lang w:eastAsia="es-CO"/>
        </w:rPr>
        <w:t>Características de las respuestas emitidas por la subdirección de gestión de normativa y doctrina de la Unidad Administrativa Especial Dirección de Impuestos y Aduanas Nacionales</w:t>
      </w:r>
      <w:r w:rsidRPr="00B42C99">
        <w:rPr>
          <w:rFonts w:ascii="Segoe UI" w:eastAsia="Times New Roman" w:hAnsi="Segoe UI" w:cs="Segoe UI"/>
          <w:b/>
          <w:bCs/>
          <w:color w:val="000000"/>
          <w:sz w:val="18"/>
          <w:szCs w:val="18"/>
          <w:lang w:eastAsia="es-CO"/>
        </w:rPr>
        <w:t>:</w:t>
      </w:r>
    </w:p>
    <w:p w:rsidR="00B42C99" w:rsidRPr="00B42C99" w:rsidRDefault="00B42C99" w:rsidP="00B42C99">
      <w:pPr>
        <w:spacing w:line="240" w:lineRule="auto"/>
        <w:rPr>
          <w:rFonts w:ascii="Arial" w:eastAsia="Times New Roman" w:hAnsi="Arial" w:cs="Arial"/>
          <w:color w:val="000000"/>
          <w:sz w:val="18"/>
          <w:szCs w:val="18"/>
          <w:lang w:eastAsia="es-CO"/>
        </w:rPr>
      </w:pPr>
      <w:r w:rsidRPr="00B42C99">
        <w:rPr>
          <w:rFonts w:ascii="Segoe UI" w:eastAsia="Times New Roman" w:hAnsi="Segoe UI" w:cs="Segoe UI"/>
          <w:b/>
          <w:bCs/>
          <w:color w:val="000000"/>
          <w:sz w:val="18"/>
          <w:szCs w:val="18"/>
          <w:lang w:eastAsia="es-CO"/>
        </w:rPr>
        <w:t> </w:t>
      </w:r>
    </w:p>
    <w:p w:rsidR="00B42C99" w:rsidRPr="00B42C99" w:rsidRDefault="00B42C99" w:rsidP="00B42C99">
      <w:pPr>
        <w:spacing w:line="240" w:lineRule="auto"/>
        <w:rPr>
          <w:rFonts w:ascii="Arial" w:eastAsia="Times New Roman" w:hAnsi="Arial" w:cs="Arial"/>
          <w:color w:val="000000"/>
          <w:sz w:val="18"/>
          <w:szCs w:val="18"/>
          <w:lang w:eastAsia="es-CO"/>
        </w:rPr>
      </w:pPr>
      <w:r w:rsidRPr="00B42C99">
        <w:rPr>
          <w:rFonts w:ascii="Segoe UI" w:eastAsia="Times New Roman" w:hAnsi="Segoe UI" w:cs="Segoe UI"/>
          <w:color w:val="000000"/>
          <w:sz w:val="18"/>
          <w:szCs w:val="18"/>
          <w:lang w:eastAsia="es-CO"/>
        </w:rPr>
        <w:t>1.1. De acuerdo a lo mencionado al comienzo de este documento, las respuestas emitidas por este despacho son una adecuación en abstracto de las normas vigentes a situaciones concretas, </w:t>
      </w:r>
      <w:r w:rsidRPr="00B42C99">
        <w:rPr>
          <w:rFonts w:ascii="Segoe UI" w:eastAsia="Times New Roman" w:hAnsi="Segoe UI" w:cs="Segoe UI"/>
          <w:color w:val="000000"/>
          <w:sz w:val="18"/>
          <w:szCs w:val="18"/>
          <w:u w:val="single"/>
          <w:lang w:eastAsia="es-CO"/>
        </w:rPr>
        <w:t>las cuales no tienen como fin solucionar problemáticas individuales, ni juzgar, valorar o asesorar a otras dependencias, entidades públicas y/o privadas en el desarrollo de sus actividades, funciones y competencias</w:t>
      </w:r>
      <w:r w:rsidRPr="00B42C99">
        <w:rPr>
          <w:rFonts w:ascii="Segoe UI" w:eastAsia="Times New Roman" w:hAnsi="Segoe UI" w:cs="Segoe UI"/>
          <w:color w:val="000000"/>
          <w:sz w:val="18"/>
          <w:szCs w:val="18"/>
          <w:lang w:eastAsia="es-CO"/>
        </w:rPr>
        <w:t>.</w:t>
      </w:r>
    </w:p>
    <w:p w:rsidR="00B42C99" w:rsidRDefault="00B42C99" w:rsidP="00B42C99">
      <w:pPr>
        <w:spacing w:line="240" w:lineRule="auto"/>
        <w:rPr>
          <w:rFonts w:ascii="Segoe UI" w:eastAsia="Times New Roman" w:hAnsi="Segoe UI" w:cs="Segoe UI"/>
          <w:color w:val="000000"/>
          <w:sz w:val="18"/>
          <w:szCs w:val="18"/>
          <w:lang w:eastAsia="es-CO"/>
        </w:rPr>
      </w:pPr>
    </w:p>
    <w:p w:rsidR="00B42C99" w:rsidRPr="00B42C99" w:rsidRDefault="00B42C99" w:rsidP="00B42C99">
      <w:pPr>
        <w:spacing w:line="240" w:lineRule="auto"/>
        <w:rPr>
          <w:rFonts w:ascii="Arial" w:eastAsia="Times New Roman" w:hAnsi="Arial" w:cs="Arial"/>
          <w:color w:val="000000"/>
          <w:sz w:val="18"/>
          <w:szCs w:val="18"/>
          <w:lang w:eastAsia="es-CO"/>
        </w:rPr>
      </w:pPr>
      <w:bookmarkStart w:id="0" w:name="_GoBack"/>
      <w:bookmarkEnd w:id="0"/>
      <w:r w:rsidRPr="00B42C99">
        <w:rPr>
          <w:rFonts w:ascii="Segoe UI" w:eastAsia="Times New Roman" w:hAnsi="Segoe UI" w:cs="Segoe UI"/>
          <w:color w:val="000000"/>
          <w:sz w:val="18"/>
          <w:szCs w:val="18"/>
          <w:lang w:eastAsia="es-CO"/>
        </w:rPr>
        <w:t>1.2. Por lo anterior, este despacho no se encuentra facultado para responderle al consultante de forma particular.</w:t>
      </w:r>
    </w:p>
    <w:p w:rsidR="00B42C99" w:rsidRPr="00B42C99" w:rsidRDefault="00B42C99" w:rsidP="00B42C99">
      <w:pPr>
        <w:spacing w:line="240" w:lineRule="auto"/>
        <w:rPr>
          <w:rFonts w:ascii="Arial" w:eastAsia="Times New Roman" w:hAnsi="Arial" w:cs="Arial"/>
          <w:color w:val="000000"/>
          <w:sz w:val="18"/>
          <w:szCs w:val="18"/>
          <w:lang w:eastAsia="es-CO"/>
        </w:rPr>
      </w:pPr>
      <w:r w:rsidRPr="00B42C99">
        <w:rPr>
          <w:rFonts w:ascii="Segoe UI" w:eastAsia="Times New Roman" w:hAnsi="Segoe UI" w:cs="Segoe UI"/>
          <w:color w:val="000000"/>
          <w:sz w:val="18"/>
          <w:szCs w:val="18"/>
          <w:lang w:eastAsia="es-CO"/>
        </w:rPr>
        <w:lastRenderedPageBreak/>
        <w:t> </w:t>
      </w:r>
    </w:p>
    <w:p w:rsidR="00B42C99" w:rsidRPr="00B42C99" w:rsidRDefault="00B42C99" w:rsidP="00B42C99">
      <w:pPr>
        <w:spacing w:line="240" w:lineRule="auto"/>
        <w:rPr>
          <w:rFonts w:ascii="Arial" w:eastAsia="Times New Roman" w:hAnsi="Arial" w:cs="Arial"/>
          <w:color w:val="000000"/>
          <w:sz w:val="18"/>
          <w:szCs w:val="18"/>
          <w:lang w:eastAsia="es-CO"/>
        </w:rPr>
      </w:pPr>
      <w:r w:rsidRPr="00B42C99">
        <w:rPr>
          <w:rFonts w:ascii="Segoe UI" w:eastAsia="Times New Roman" w:hAnsi="Segoe UI" w:cs="Segoe UI"/>
          <w:b/>
          <w:bCs/>
          <w:color w:val="000000"/>
          <w:sz w:val="18"/>
          <w:szCs w:val="18"/>
          <w:lang w:eastAsia="es-CO"/>
        </w:rPr>
        <w:t>2. </w:t>
      </w:r>
      <w:r w:rsidRPr="00B42C99">
        <w:rPr>
          <w:rFonts w:ascii="Segoe UI" w:eastAsia="Times New Roman" w:hAnsi="Segoe UI" w:cs="Segoe UI"/>
          <w:b/>
          <w:bCs/>
          <w:color w:val="000000"/>
          <w:sz w:val="18"/>
          <w:szCs w:val="18"/>
          <w:u w:val="single"/>
          <w:lang w:eastAsia="es-CO"/>
        </w:rPr>
        <w:t>Análisis de la pregunta</w:t>
      </w:r>
      <w:r w:rsidRPr="00B42C99">
        <w:rPr>
          <w:rFonts w:ascii="Segoe UI" w:eastAsia="Times New Roman" w:hAnsi="Segoe UI" w:cs="Segoe UI"/>
          <w:b/>
          <w:bCs/>
          <w:color w:val="000000"/>
          <w:sz w:val="18"/>
          <w:szCs w:val="18"/>
          <w:lang w:eastAsia="es-CO"/>
        </w:rPr>
        <w:t>:</w:t>
      </w:r>
    </w:p>
    <w:p w:rsidR="00B42C99" w:rsidRPr="00B42C99" w:rsidRDefault="00B42C99" w:rsidP="00B42C99">
      <w:pPr>
        <w:spacing w:line="240" w:lineRule="auto"/>
        <w:rPr>
          <w:rFonts w:ascii="Arial" w:eastAsia="Times New Roman" w:hAnsi="Arial" w:cs="Arial"/>
          <w:color w:val="000000"/>
          <w:sz w:val="18"/>
          <w:szCs w:val="18"/>
          <w:lang w:eastAsia="es-CO"/>
        </w:rPr>
      </w:pPr>
      <w:r w:rsidRPr="00B42C99">
        <w:rPr>
          <w:rFonts w:ascii="Segoe UI" w:eastAsia="Times New Roman" w:hAnsi="Segoe UI" w:cs="Segoe UI"/>
          <w:b/>
          <w:bCs/>
          <w:color w:val="000000"/>
          <w:sz w:val="18"/>
          <w:szCs w:val="18"/>
          <w:lang w:eastAsia="es-CO"/>
        </w:rPr>
        <w:t> </w:t>
      </w:r>
    </w:p>
    <w:p w:rsidR="00B42C99" w:rsidRPr="00B42C99" w:rsidRDefault="00B42C99" w:rsidP="00B42C99">
      <w:pPr>
        <w:spacing w:line="240" w:lineRule="auto"/>
        <w:rPr>
          <w:rFonts w:ascii="Arial" w:eastAsia="Times New Roman" w:hAnsi="Arial" w:cs="Arial"/>
          <w:color w:val="000000"/>
          <w:sz w:val="18"/>
          <w:szCs w:val="18"/>
          <w:lang w:eastAsia="es-CO"/>
        </w:rPr>
      </w:pPr>
      <w:r w:rsidRPr="00B42C99">
        <w:rPr>
          <w:rFonts w:ascii="Segoe UI" w:eastAsia="Times New Roman" w:hAnsi="Segoe UI" w:cs="Segoe UI"/>
          <w:b/>
          <w:bCs/>
          <w:color w:val="000000"/>
          <w:sz w:val="18"/>
          <w:szCs w:val="18"/>
          <w:lang w:eastAsia="es-CO"/>
        </w:rPr>
        <w:t>2.1. Vigencia y aplicabilidad del parágrafo 2 del artículo 67 de la Ley 388 de 1997:</w:t>
      </w:r>
    </w:p>
    <w:p w:rsidR="00B42C99" w:rsidRPr="00B42C99" w:rsidRDefault="00B42C99" w:rsidP="00B42C99">
      <w:pPr>
        <w:spacing w:line="240" w:lineRule="auto"/>
        <w:rPr>
          <w:rFonts w:ascii="Arial" w:eastAsia="Times New Roman" w:hAnsi="Arial" w:cs="Arial"/>
          <w:color w:val="000000"/>
          <w:sz w:val="18"/>
          <w:szCs w:val="18"/>
          <w:lang w:eastAsia="es-CO"/>
        </w:rPr>
      </w:pPr>
      <w:r w:rsidRPr="00B42C99">
        <w:rPr>
          <w:rFonts w:ascii="Segoe UI" w:eastAsia="Times New Roman" w:hAnsi="Segoe UI" w:cs="Segoe UI"/>
          <w:b/>
          <w:bCs/>
          <w:color w:val="000000"/>
          <w:sz w:val="18"/>
          <w:szCs w:val="18"/>
          <w:lang w:eastAsia="es-CO"/>
        </w:rPr>
        <w:t> </w:t>
      </w:r>
    </w:p>
    <w:p w:rsidR="00B42C99" w:rsidRPr="00B42C99" w:rsidRDefault="00B42C99" w:rsidP="00B42C99">
      <w:pPr>
        <w:spacing w:line="240" w:lineRule="auto"/>
        <w:rPr>
          <w:rFonts w:ascii="Arial" w:eastAsia="Times New Roman" w:hAnsi="Arial" w:cs="Arial"/>
          <w:color w:val="000000"/>
          <w:sz w:val="18"/>
          <w:szCs w:val="18"/>
          <w:lang w:eastAsia="es-CO"/>
        </w:rPr>
      </w:pPr>
      <w:r w:rsidRPr="00B42C99">
        <w:rPr>
          <w:rFonts w:ascii="Segoe UI" w:eastAsia="Times New Roman" w:hAnsi="Segoe UI" w:cs="Segoe UI"/>
          <w:color w:val="000000"/>
          <w:sz w:val="18"/>
          <w:szCs w:val="18"/>
          <w:lang w:eastAsia="es-CO"/>
        </w:rPr>
        <w:t>a) Según lo establecido en el Concepto No. 070056 del 18 de agosto de 2006 emitido por este despacho, es posible considerar que lo establecido en el parágrafo 2 del artículo 67 de la Ley 388 de 1997, debe ser tratado como una norma especial e independiente, no incorporada al Estatuto Tributario, la cual se encuentra vigente para efectos del beneficio por ellas creado.</w:t>
      </w:r>
    </w:p>
    <w:p w:rsidR="00B42C99" w:rsidRDefault="00B42C99" w:rsidP="00B42C99">
      <w:pPr>
        <w:spacing w:line="240" w:lineRule="auto"/>
        <w:rPr>
          <w:rFonts w:ascii="Segoe UI" w:eastAsia="Times New Roman" w:hAnsi="Segoe UI" w:cs="Segoe UI"/>
          <w:color w:val="000000"/>
          <w:sz w:val="18"/>
          <w:szCs w:val="18"/>
          <w:lang w:eastAsia="es-CO"/>
        </w:rPr>
      </w:pPr>
    </w:p>
    <w:p w:rsidR="00B42C99" w:rsidRPr="00B42C99" w:rsidRDefault="00B42C99" w:rsidP="00B42C99">
      <w:pPr>
        <w:spacing w:line="240" w:lineRule="auto"/>
        <w:rPr>
          <w:rFonts w:ascii="Arial" w:eastAsia="Times New Roman" w:hAnsi="Arial" w:cs="Arial"/>
          <w:color w:val="000000"/>
          <w:sz w:val="18"/>
          <w:szCs w:val="18"/>
          <w:lang w:eastAsia="es-CO"/>
        </w:rPr>
      </w:pPr>
      <w:r w:rsidRPr="00B42C99">
        <w:rPr>
          <w:rFonts w:ascii="Segoe UI" w:eastAsia="Times New Roman" w:hAnsi="Segoe UI" w:cs="Segoe UI"/>
          <w:color w:val="000000"/>
          <w:sz w:val="18"/>
          <w:szCs w:val="18"/>
          <w:lang w:eastAsia="es-CO"/>
        </w:rPr>
        <w:t>b) En este sentido, es posible considerar que el tratamiento incluido el parágrafo 2 del artículo 67 de la Ley 388 de 1997 se encuentra vigente y reconoce </w:t>
      </w:r>
      <w:r w:rsidRPr="00B42C99">
        <w:rPr>
          <w:rFonts w:ascii="Segoe UI" w:eastAsia="Times New Roman" w:hAnsi="Segoe UI" w:cs="Segoe UI"/>
          <w:color w:val="000000"/>
          <w:sz w:val="18"/>
          <w:szCs w:val="18"/>
          <w:u w:val="single"/>
          <w:lang w:eastAsia="es-CO"/>
        </w:rPr>
        <w:t>que el ingreso obtenido por la enajenación de inmuebles por vía de expropiación administrativa no constituye, para fines tributarios, renta gravable ni ganancia ocasional, siempre y cuando la negociación se realice por la vía de la enajenación voluntaria</w:t>
      </w:r>
      <w:r w:rsidRPr="00B42C99">
        <w:rPr>
          <w:rFonts w:ascii="Segoe UI" w:eastAsia="Times New Roman" w:hAnsi="Segoe UI" w:cs="Segoe UI"/>
          <w:color w:val="000000"/>
          <w:sz w:val="18"/>
          <w:szCs w:val="18"/>
          <w:lang w:eastAsia="es-CO"/>
        </w:rPr>
        <w:t>.</w:t>
      </w:r>
    </w:p>
    <w:p w:rsidR="00B42C99" w:rsidRDefault="00B42C99" w:rsidP="00B42C99">
      <w:pPr>
        <w:spacing w:line="240" w:lineRule="auto"/>
        <w:rPr>
          <w:rFonts w:ascii="Segoe UI" w:eastAsia="Times New Roman" w:hAnsi="Segoe UI" w:cs="Segoe UI"/>
          <w:color w:val="000000"/>
          <w:sz w:val="18"/>
          <w:szCs w:val="18"/>
          <w:lang w:eastAsia="es-CO"/>
        </w:rPr>
      </w:pPr>
    </w:p>
    <w:p w:rsidR="00B42C99" w:rsidRPr="00B42C99" w:rsidRDefault="00B42C99" w:rsidP="00B42C99">
      <w:pPr>
        <w:spacing w:line="240" w:lineRule="auto"/>
        <w:rPr>
          <w:rFonts w:ascii="Arial" w:eastAsia="Times New Roman" w:hAnsi="Arial" w:cs="Arial"/>
          <w:color w:val="000000"/>
          <w:sz w:val="18"/>
          <w:szCs w:val="18"/>
          <w:lang w:eastAsia="es-CO"/>
        </w:rPr>
      </w:pPr>
      <w:r w:rsidRPr="00B42C99">
        <w:rPr>
          <w:rFonts w:ascii="Segoe UI" w:eastAsia="Times New Roman" w:hAnsi="Segoe UI" w:cs="Segoe UI"/>
          <w:color w:val="000000"/>
          <w:sz w:val="18"/>
          <w:szCs w:val="18"/>
          <w:lang w:eastAsia="es-CO"/>
        </w:rPr>
        <w:t>c) Sin prejuicio a lo anterior, es necesario precisar que el parágrafo 2 del artículo 67 de la Ley 388 de 1997 aplica en los casos de enajenación de inmuebles por vía de expropiación administrativa en los términos de la Ley 388 de 1997. Esto, en tanto que el texto del parágrafo hace referencia al Capítulo VIII Ley 388 de 1997.</w:t>
      </w:r>
    </w:p>
    <w:p w:rsidR="00B42C99" w:rsidRDefault="00B42C99" w:rsidP="00B42C99">
      <w:pPr>
        <w:spacing w:line="240" w:lineRule="auto"/>
        <w:rPr>
          <w:rFonts w:ascii="Segoe UI" w:eastAsia="Times New Roman" w:hAnsi="Segoe UI" w:cs="Segoe UI"/>
          <w:color w:val="000000"/>
          <w:sz w:val="18"/>
          <w:szCs w:val="18"/>
          <w:lang w:eastAsia="es-CO"/>
        </w:rPr>
      </w:pPr>
    </w:p>
    <w:p w:rsidR="00B42C99" w:rsidRPr="00B42C99" w:rsidRDefault="00B42C99" w:rsidP="00B42C99">
      <w:pPr>
        <w:spacing w:line="240" w:lineRule="auto"/>
        <w:rPr>
          <w:rFonts w:ascii="Arial" w:eastAsia="Times New Roman" w:hAnsi="Arial" w:cs="Arial"/>
          <w:color w:val="000000"/>
          <w:sz w:val="18"/>
          <w:szCs w:val="18"/>
          <w:lang w:eastAsia="es-CO"/>
        </w:rPr>
      </w:pPr>
      <w:r w:rsidRPr="00B42C99">
        <w:rPr>
          <w:rFonts w:ascii="Segoe UI" w:eastAsia="Times New Roman" w:hAnsi="Segoe UI" w:cs="Segoe UI"/>
          <w:color w:val="000000"/>
          <w:sz w:val="18"/>
          <w:szCs w:val="18"/>
          <w:lang w:eastAsia="es-CO"/>
        </w:rPr>
        <w:t>d) Consideramos necesario aclarar que el parágrafo 2 del artículo 67 de la Ley 388 de 1997, reconoce al ingreso obtenido por la enajenación de inmuebles derivado de la expropiación administrativa como un ingreso no constitutivo de renta ni ganancia ocasional, y no le da el tratamiento de renta exenta, tal como lo propone el consultante.</w:t>
      </w:r>
    </w:p>
    <w:p w:rsidR="00B42C99" w:rsidRPr="00B42C99" w:rsidRDefault="00B42C99" w:rsidP="00B42C99">
      <w:pPr>
        <w:spacing w:line="240" w:lineRule="auto"/>
        <w:rPr>
          <w:rFonts w:ascii="Arial" w:eastAsia="Times New Roman" w:hAnsi="Arial" w:cs="Arial"/>
          <w:color w:val="000000"/>
          <w:sz w:val="18"/>
          <w:szCs w:val="18"/>
          <w:lang w:eastAsia="es-CO"/>
        </w:rPr>
      </w:pPr>
      <w:r w:rsidRPr="00B42C99">
        <w:rPr>
          <w:rFonts w:ascii="Segoe UI" w:eastAsia="Times New Roman" w:hAnsi="Segoe UI" w:cs="Segoe UI"/>
          <w:color w:val="000000"/>
          <w:sz w:val="18"/>
          <w:szCs w:val="18"/>
          <w:lang w:eastAsia="es-CO"/>
        </w:rPr>
        <w:t> </w:t>
      </w:r>
    </w:p>
    <w:p w:rsidR="00B42C99" w:rsidRPr="00B42C99" w:rsidRDefault="00B42C99" w:rsidP="00B42C99">
      <w:pPr>
        <w:spacing w:line="240" w:lineRule="auto"/>
        <w:rPr>
          <w:rFonts w:ascii="Arial" w:eastAsia="Times New Roman" w:hAnsi="Arial" w:cs="Arial"/>
          <w:color w:val="000000"/>
          <w:sz w:val="18"/>
          <w:szCs w:val="18"/>
          <w:lang w:eastAsia="es-CO"/>
        </w:rPr>
      </w:pPr>
      <w:r w:rsidRPr="00B42C99">
        <w:rPr>
          <w:rFonts w:ascii="Segoe UI" w:eastAsia="Times New Roman" w:hAnsi="Segoe UI" w:cs="Segoe UI"/>
          <w:b/>
          <w:bCs/>
          <w:color w:val="000000"/>
          <w:sz w:val="18"/>
          <w:szCs w:val="18"/>
          <w:lang w:eastAsia="es-CO"/>
        </w:rPr>
        <w:t>2.2. Relación del parágrafo 2 del artículo 67 de la Ley 388 de 1997 con el artículo 111 de la Ley 99 de 1993, modificado por el artículo 210 de la Ley 1450 de 2011 y reglamentado por el Decreto 0953 de 2013:</w:t>
      </w:r>
    </w:p>
    <w:p w:rsidR="00B42C99" w:rsidRPr="00B42C99" w:rsidRDefault="00B42C99" w:rsidP="00B42C99">
      <w:pPr>
        <w:spacing w:line="240" w:lineRule="auto"/>
        <w:rPr>
          <w:rFonts w:ascii="Arial" w:eastAsia="Times New Roman" w:hAnsi="Arial" w:cs="Arial"/>
          <w:color w:val="000000"/>
          <w:sz w:val="18"/>
          <w:szCs w:val="18"/>
          <w:lang w:eastAsia="es-CO"/>
        </w:rPr>
      </w:pPr>
      <w:r w:rsidRPr="00B42C99">
        <w:rPr>
          <w:rFonts w:ascii="Segoe UI" w:eastAsia="Times New Roman" w:hAnsi="Segoe UI" w:cs="Segoe UI"/>
          <w:b/>
          <w:bCs/>
          <w:color w:val="000000"/>
          <w:sz w:val="18"/>
          <w:szCs w:val="18"/>
          <w:lang w:eastAsia="es-CO"/>
        </w:rPr>
        <w:t> </w:t>
      </w:r>
    </w:p>
    <w:p w:rsidR="00B42C99" w:rsidRPr="00B42C99" w:rsidRDefault="00B42C99" w:rsidP="00B42C99">
      <w:pPr>
        <w:spacing w:line="240" w:lineRule="auto"/>
        <w:rPr>
          <w:rFonts w:ascii="Arial" w:eastAsia="Times New Roman" w:hAnsi="Arial" w:cs="Arial"/>
          <w:color w:val="000000"/>
          <w:sz w:val="18"/>
          <w:szCs w:val="18"/>
          <w:lang w:eastAsia="es-CO"/>
        </w:rPr>
      </w:pPr>
      <w:r w:rsidRPr="00B42C99">
        <w:rPr>
          <w:rFonts w:ascii="Segoe UI" w:eastAsia="Times New Roman" w:hAnsi="Segoe UI" w:cs="Segoe UI"/>
          <w:color w:val="000000"/>
          <w:sz w:val="18"/>
          <w:szCs w:val="18"/>
          <w:lang w:eastAsia="es-CO"/>
        </w:rPr>
        <w:t>a) El artículo 6 del Decreto 0953 de 2013, artículo compilado en el artículo 2.2.9.8.2.1 del Decreto Único Reglamentario 1076 de 2015, establece el procedimiento para la adquisición de los predios priorizados, donde precisa que:</w:t>
      </w:r>
    </w:p>
    <w:p w:rsidR="00B42C99" w:rsidRPr="00B42C99" w:rsidRDefault="00B42C99" w:rsidP="00B42C99">
      <w:pPr>
        <w:spacing w:line="240" w:lineRule="auto"/>
        <w:ind w:left="180"/>
        <w:rPr>
          <w:rFonts w:ascii="Arial" w:eastAsia="Times New Roman" w:hAnsi="Arial" w:cs="Arial"/>
          <w:color w:val="000000"/>
          <w:sz w:val="18"/>
          <w:szCs w:val="18"/>
          <w:lang w:eastAsia="es-CO"/>
        </w:rPr>
      </w:pPr>
      <w:r w:rsidRPr="00B42C99">
        <w:rPr>
          <w:rFonts w:ascii="Segoe UI" w:eastAsia="Times New Roman" w:hAnsi="Segoe UI" w:cs="Segoe UI"/>
          <w:color w:val="000000"/>
          <w:sz w:val="18"/>
          <w:szCs w:val="18"/>
          <w:lang w:eastAsia="es-CO"/>
        </w:rPr>
        <w:t> </w:t>
      </w:r>
    </w:p>
    <w:p w:rsidR="00B42C99" w:rsidRPr="00B42C99" w:rsidRDefault="00B42C99" w:rsidP="00B42C99">
      <w:pPr>
        <w:spacing w:line="240" w:lineRule="auto"/>
        <w:ind w:left="180"/>
        <w:rPr>
          <w:rFonts w:ascii="Arial" w:eastAsia="Times New Roman" w:hAnsi="Arial" w:cs="Arial"/>
          <w:color w:val="000000"/>
          <w:sz w:val="18"/>
          <w:szCs w:val="18"/>
          <w:lang w:eastAsia="es-CO"/>
        </w:rPr>
      </w:pPr>
      <w:r w:rsidRPr="00B42C99">
        <w:rPr>
          <w:rFonts w:ascii="Segoe UI" w:eastAsia="Times New Roman" w:hAnsi="Segoe UI" w:cs="Segoe UI"/>
          <w:i/>
          <w:iCs/>
          <w:color w:val="000000"/>
          <w:sz w:val="18"/>
          <w:szCs w:val="18"/>
          <w:lang w:eastAsia="es-CO"/>
        </w:rPr>
        <w:t>“</w:t>
      </w:r>
      <w:r w:rsidRPr="00B42C99">
        <w:rPr>
          <w:rFonts w:ascii="Segoe UI" w:eastAsia="Times New Roman" w:hAnsi="Segoe UI" w:cs="Segoe UI"/>
          <w:i/>
          <w:iCs/>
          <w:color w:val="000000"/>
          <w:sz w:val="18"/>
          <w:szCs w:val="18"/>
          <w:u w:val="single"/>
          <w:lang w:eastAsia="es-CO"/>
        </w:rPr>
        <w:t>La adquisición por negociación directa y voluntaria o por expropiación de bienes inmuebles para los fines previstos en el artículo 111 de la Ley 99 de 1993, modificado por el artículo 210 de la Ley 1450 de 2011, se regirá por el procedimiento establecido en la Ley 388 de 1997 o la norma que la modifique, adicione, sustituya o complemente.</w:t>
      </w:r>
      <w:r w:rsidRPr="00B42C99">
        <w:rPr>
          <w:rFonts w:ascii="Segoe UI" w:eastAsia="Times New Roman" w:hAnsi="Segoe UI" w:cs="Segoe UI"/>
          <w:i/>
          <w:iCs/>
          <w:color w:val="000000"/>
          <w:sz w:val="18"/>
          <w:szCs w:val="18"/>
          <w:lang w:eastAsia="es-CO"/>
        </w:rPr>
        <w:t>”</w:t>
      </w:r>
    </w:p>
    <w:p w:rsidR="00B42C99" w:rsidRPr="00B42C99" w:rsidRDefault="00B42C99" w:rsidP="00B42C99">
      <w:pPr>
        <w:spacing w:line="240" w:lineRule="auto"/>
        <w:rPr>
          <w:rFonts w:ascii="Arial" w:eastAsia="Times New Roman" w:hAnsi="Arial" w:cs="Arial"/>
          <w:color w:val="000000"/>
          <w:sz w:val="18"/>
          <w:szCs w:val="18"/>
          <w:lang w:eastAsia="es-CO"/>
        </w:rPr>
      </w:pPr>
      <w:r w:rsidRPr="00B42C99">
        <w:rPr>
          <w:rFonts w:ascii="Segoe UI" w:eastAsia="Times New Roman" w:hAnsi="Segoe UI" w:cs="Segoe UI"/>
          <w:i/>
          <w:iCs/>
          <w:color w:val="000000"/>
          <w:sz w:val="18"/>
          <w:szCs w:val="18"/>
          <w:lang w:eastAsia="es-CO"/>
        </w:rPr>
        <w:t> </w:t>
      </w:r>
    </w:p>
    <w:p w:rsidR="00B42C99" w:rsidRPr="00B42C99" w:rsidRDefault="00B42C99" w:rsidP="00B42C99">
      <w:pPr>
        <w:spacing w:line="240" w:lineRule="auto"/>
        <w:rPr>
          <w:rFonts w:ascii="Arial" w:eastAsia="Times New Roman" w:hAnsi="Arial" w:cs="Arial"/>
          <w:color w:val="000000"/>
          <w:sz w:val="18"/>
          <w:szCs w:val="18"/>
          <w:lang w:eastAsia="es-CO"/>
        </w:rPr>
      </w:pPr>
      <w:r w:rsidRPr="00B42C99">
        <w:rPr>
          <w:rFonts w:ascii="Segoe UI" w:eastAsia="Times New Roman" w:hAnsi="Segoe UI" w:cs="Segoe UI"/>
          <w:color w:val="000000"/>
          <w:sz w:val="18"/>
          <w:szCs w:val="18"/>
          <w:lang w:eastAsia="es-CO"/>
        </w:rPr>
        <w:t>b) De lo anterior, es posible reconocer que los predios adquiridos con ocasión a la aplicación del artículo 111 de la Ley 99 de 1993, modificado por el artículo 210 de la Ley 1450, deberán ser adquiridos por negociación directa y voluntaria o por expropiación, las cuales se regirán por el procedimiento establecido en la Ley 388 de 1997 o la norma que la modifique, adicione, sustituya o complemente.</w:t>
      </w:r>
    </w:p>
    <w:p w:rsidR="00B42C99" w:rsidRDefault="00B42C99" w:rsidP="00B42C99">
      <w:pPr>
        <w:spacing w:line="240" w:lineRule="auto"/>
        <w:rPr>
          <w:rFonts w:ascii="Segoe UI" w:eastAsia="Times New Roman" w:hAnsi="Segoe UI" w:cs="Segoe UI"/>
          <w:color w:val="000000"/>
          <w:sz w:val="18"/>
          <w:szCs w:val="18"/>
          <w:lang w:eastAsia="es-CO"/>
        </w:rPr>
      </w:pPr>
    </w:p>
    <w:p w:rsidR="00B42C99" w:rsidRPr="00B42C99" w:rsidRDefault="00B42C99" w:rsidP="00B42C99">
      <w:pPr>
        <w:spacing w:line="240" w:lineRule="auto"/>
        <w:rPr>
          <w:rFonts w:ascii="Arial" w:eastAsia="Times New Roman" w:hAnsi="Arial" w:cs="Arial"/>
          <w:color w:val="000000"/>
          <w:sz w:val="18"/>
          <w:szCs w:val="18"/>
          <w:lang w:eastAsia="es-CO"/>
        </w:rPr>
      </w:pPr>
      <w:r w:rsidRPr="00B42C99">
        <w:rPr>
          <w:rFonts w:ascii="Segoe UI" w:eastAsia="Times New Roman" w:hAnsi="Segoe UI" w:cs="Segoe UI"/>
          <w:color w:val="000000"/>
          <w:sz w:val="18"/>
          <w:szCs w:val="18"/>
          <w:lang w:eastAsia="es-CO"/>
        </w:rPr>
        <w:t>c) En relación con lo analizado en el punto 2.1. de este documento, es posible reconocer que el parágrafo 2 del artículo 67 de la Ley 388 de 1997 reconoce que el ingreso obtenido por la enajenación de inmuebles por vía de expropiación administrativa no constituye, para fines tributarios, renta gravable ni ganancia ocasional, siempre y cuando la negociación se realice por la vía de la enajenación voluntaria.</w:t>
      </w:r>
    </w:p>
    <w:p w:rsidR="00B42C99" w:rsidRDefault="00B42C99" w:rsidP="00B42C99">
      <w:pPr>
        <w:spacing w:line="240" w:lineRule="auto"/>
        <w:rPr>
          <w:rFonts w:ascii="Segoe UI" w:eastAsia="Times New Roman" w:hAnsi="Segoe UI" w:cs="Segoe UI"/>
          <w:color w:val="000000"/>
          <w:sz w:val="18"/>
          <w:szCs w:val="18"/>
          <w:lang w:eastAsia="es-CO"/>
        </w:rPr>
      </w:pPr>
    </w:p>
    <w:p w:rsidR="00B42C99" w:rsidRPr="00B42C99" w:rsidRDefault="00B42C99" w:rsidP="00B42C99">
      <w:pPr>
        <w:spacing w:line="240" w:lineRule="auto"/>
        <w:rPr>
          <w:rFonts w:ascii="Arial" w:eastAsia="Times New Roman" w:hAnsi="Arial" w:cs="Arial"/>
          <w:color w:val="000000"/>
          <w:sz w:val="18"/>
          <w:szCs w:val="18"/>
          <w:lang w:eastAsia="es-CO"/>
        </w:rPr>
      </w:pPr>
      <w:r w:rsidRPr="00B42C99">
        <w:rPr>
          <w:rFonts w:ascii="Segoe UI" w:eastAsia="Times New Roman" w:hAnsi="Segoe UI" w:cs="Segoe UI"/>
          <w:color w:val="000000"/>
          <w:sz w:val="18"/>
          <w:szCs w:val="18"/>
          <w:lang w:eastAsia="es-CO"/>
        </w:rPr>
        <w:t>d) En esta medida, es posible considerar que los bienes enajenados por un particular, a la luz artículo 111 de la Ley 99 de 1993, modificado por el artículo 210 de la Ley 1450, gozarán del beneficio tributario establecido en el parágrafo 2 del artículo 67 de la Ley 388 de 1997, siempre y cuando: i) la enajenación del inmueble se realice en el caso de una expropiación administrativa, y ii) la negociación se realice por la vía de la enajenación voluntaria.</w:t>
      </w:r>
    </w:p>
    <w:p w:rsidR="00B42C99" w:rsidRPr="00B42C99" w:rsidRDefault="00B42C99" w:rsidP="00B42C99">
      <w:pPr>
        <w:spacing w:line="240" w:lineRule="auto"/>
        <w:rPr>
          <w:rFonts w:ascii="Arial" w:eastAsia="Times New Roman" w:hAnsi="Arial" w:cs="Arial"/>
          <w:color w:val="000000"/>
          <w:sz w:val="18"/>
          <w:szCs w:val="18"/>
          <w:lang w:eastAsia="es-CO"/>
        </w:rPr>
      </w:pPr>
      <w:r w:rsidRPr="00B42C99">
        <w:rPr>
          <w:rFonts w:ascii="Segoe UI" w:eastAsia="Times New Roman" w:hAnsi="Segoe UI" w:cs="Segoe UI"/>
          <w:color w:val="000000"/>
          <w:sz w:val="18"/>
          <w:szCs w:val="18"/>
          <w:lang w:eastAsia="es-CO"/>
        </w:rPr>
        <w:t> </w:t>
      </w:r>
    </w:p>
    <w:p w:rsidR="00B42C99" w:rsidRDefault="00B42C99" w:rsidP="00B42C99">
      <w:pPr>
        <w:spacing w:line="240" w:lineRule="auto"/>
        <w:rPr>
          <w:rFonts w:ascii="Segoe UI" w:eastAsia="Times New Roman" w:hAnsi="Segoe UI" w:cs="Segoe UI"/>
          <w:color w:val="000000"/>
          <w:sz w:val="18"/>
          <w:szCs w:val="18"/>
          <w:lang w:eastAsia="es-CO"/>
        </w:rPr>
      </w:pPr>
    </w:p>
    <w:p w:rsidR="00B42C99" w:rsidRPr="00B42C99" w:rsidRDefault="00B42C99" w:rsidP="00B42C99">
      <w:pPr>
        <w:spacing w:line="240" w:lineRule="auto"/>
        <w:rPr>
          <w:rFonts w:ascii="Arial" w:eastAsia="Times New Roman" w:hAnsi="Arial" w:cs="Arial"/>
          <w:color w:val="000000"/>
          <w:sz w:val="18"/>
          <w:szCs w:val="18"/>
          <w:lang w:eastAsia="es-CO"/>
        </w:rPr>
      </w:pPr>
      <w:r w:rsidRPr="00B42C99">
        <w:rPr>
          <w:rFonts w:ascii="Segoe UI" w:eastAsia="Times New Roman" w:hAnsi="Segoe UI" w:cs="Segoe UI"/>
          <w:color w:val="000000"/>
          <w:sz w:val="18"/>
          <w:szCs w:val="18"/>
          <w:lang w:eastAsia="es-CO"/>
        </w:rPr>
        <w:t>Atentamente,</w:t>
      </w:r>
    </w:p>
    <w:p w:rsidR="00B42C99" w:rsidRPr="00B42C99" w:rsidRDefault="00B42C99" w:rsidP="00B42C99">
      <w:pPr>
        <w:spacing w:line="240" w:lineRule="auto"/>
        <w:rPr>
          <w:rFonts w:ascii="Arial" w:eastAsia="Times New Roman" w:hAnsi="Arial" w:cs="Arial"/>
          <w:color w:val="000000"/>
          <w:sz w:val="18"/>
          <w:szCs w:val="18"/>
          <w:lang w:eastAsia="es-CO"/>
        </w:rPr>
      </w:pPr>
      <w:r w:rsidRPr="00B42C99">
        <w:rPr>
          <w:rFonts w:ascii="Segoe UI" w:eastAsia="Times New Roman" w:hAnsi="Segoe UI" w:cs="Segoe UI"/>
          <w:color w:val="000000"/>
          <w:sz w:val="18"/>
          <w:szCs w:val="18"/>
          <w:lang w:eastAsia="es-CO"/>
        </w:rPr>
        <w:t> </w:t>
      </w:r>
    </w:p>
    <w:p w:rsidR="00B42C99" w:rsidRPr="00B42C99" w:rsidRDefault="00B42C99" w:rsidP="00B42C99">
      <w:pPr>
        <w:spacing w:line="240" w:lineRule="auto"/>
        <w:rPr>
          <w:rFonts w:ascii="Arial" w:eastAsia="Times New Roman" w:hAnsi="Arial" w:cs="Arial"/>
          <w:color w:val="000000"/>
          <w:sz w:val="18"/>
          <w:szCs w:val="18"/>
          <w:lang w:eastAsia="es-CO"/>
        </w:rPr>
      </w:pPr>
      <w:r w:rsidRPr="00B42C99">
        <w:rPr>
          <w:rFonts w:ascii="Segoe UI" w:eastAsia="Times New Roman" w:hAnsi="Segoe UI" w:cs="Segoe UI"/>
          <w:color w:val="000000"/>
          <w:sz w:val="18"/>
          <w:szCs w:val="18"/>
          <w:lang w:eastAsia="es-CO"/>
        </w:rPr>
        <w:t> </w:t>
      </w:r>
    </w:p>
    <w:p w:rsidR="00B42C99" w:rsidRPr="00B42C99" w:rsidRDefault="00B42C99" w:rsidP="00B42C99">
      <w:pPr>
        <w:spacing w:line="240" w:lineRule="auto"/>
        <w:rPr>
          <w:rFonts w:ascii="Arial" w:eastAsia="Times New Roman" w:hAnsi="Arial" w:cs="Arial"/>
          <w:color w:val="000000"/>
          <w:sz w:val="18"/>
          <w:szCs w:val="18"/>
          <w:lang w:eastAsia="es-CO"/>
        </w:rPr>
      </w:pPr>
      <w:r w:rsidRPr="00B42C99">
        <w:rPr>
          <w:rFonts w:ascii="Segoe UI" w:eastAsia="Times New Roman" w:hAnsi="Segoe UI" w:cs="Segoe UI"/>
          <w:b/>
          <w:bCs/>
          <w:color w:val="000000"/>
          <w:sz w:val="18"/>
          <w:szCs w:val="18"/>
          <w:lang w:eastAsia="es-CO"/>
        </w:rPr>
        <w:t>LORENZO CASTILLO BARVO</w:t>
      </w:r>
    </w:p>
    <w:p w:rsidR="00B42C99" w:rsidRPr="00B42C99" w:rsidRDefault="00B42C99" w:rsidP="00B42C99">
      <w:pPr>
        <w:spacing w:line="240" w:lineRule="auto"/>
        <w:rPr>
          <w:rFonts w:ascii="Arial" w:eastAsia="Times New Roman" w:hAnsi="Arial" w:cs="Arial"/>
          <w:color w:val="000000"/>
          <w:sz w:val="18"/>
          <w:szCs w:val="18"/>
          <w:lang w:eastAsia="es-CO"/>
        </w:rPr>
      </w:pPr>
      <w:r w:rsidRPr="00B42C99">
        <w:rPr>
          <w:rFonts w:ascii="Segoe UI" w:eastAsia="Times New Roman" w:hAnsi="Segoe UI" w:cs="Segoe UI"/>
          <w:color w:val="000000"/>
          <w:sz w:val="18"/>
          <w:szCs w:val="18"/>
          <w:lang w:eastAsia="es-CO"/>
        </w:rPr>
        <w:t>Subdirector de Gestión Normativa y Doctrina (E)</w:t>
      </w:r>
    </w:p>
    <w:p w:rsidR="00B42C99" w:rsidRPr="00B42C99" w:rsidRDefault="00B42C99" w:rsidP="00B42C99">
      <w:pPr>
        <w:spacing w:line="240" w:lineRule="auto"/>
        <w:rPr>
          <w:rFonts w:ascii="Arial" w:eastAsia="Times New Roman" w:hAnsi="Arial" w:cs="Arial"/>
          <w:color w:val="000000"/>
          <w:sz w:val="18"/>
          <w:szCs w:val="18"/>
          <w:lang w:eastAsia="es-CO"/>
        </w:rPr>
      </w:pPr>
      <w:r w:rsidRPr="00B42C99">
        <w:rPr>
          <w:rFonts w:ascii="Segoe UI" w:eastAsia="Times New Roman" w:hAnsi="Segoe UI" w:cs="Segoe UI"/>
          <w:color w:val="000000"/>
          <w:sz w:val="18"/>
          <w:szCs w:val="18"/>
          <w:lang w:eastAsia="es-CO"/>
        </w:rPr>
        <w:t>Dirección de Gestión Jurídica</w:t>
      </w:r>
    </w:p>
    <w:p w:rsidR="00B42C99" w:rsidRPr="00B42C99" w:rsidRDefault="00B42C99" w:rsidP="00B42C99">
      <w:pPr>
        <w:spacing w:line="240" w:lineRule="auto"/>
        <w:rPr>
          <w:rFonts w:ascii="Arial" w:eastAsia="Times New Roman" w:hAnsi="Arial" w:cs="Arial"/>
          <w:color w:val="000000"/>
          <w:sz w:val="18"/>
          <w:szCs w:val="18"/>
          <w:lang w:eastAsia="es-CO"/>
        </w:rPr>
      </w:pPr>
      <w:r w:rsidRPr="00B42C99">
        <w:rPr>
          <w:rFonts w:ascii="Segoe UI" w:eastAsia="Times New Roman" w:hAnsi="Segoe UI" w:cs="Segoe UI"/>
          <w:color w:val="000000"/>
          <w:sz w:val="18"/>
          <w:szCs w:val="18"/>
          <w:lang w:eastAsia="es-CO"/>
        </w:rPr>
        <w:t xml:space="preserve">UAE – Dirección de Impuestos y Aduanas </w:t>
      </w:r>
      <w:proofErr w:type="spellStart"/>
      <w:r w:rsidRPr="00B42C99">
        <w:rPr>
          <w:rFonts w:ascii="Segoe UI" w:eastAsia="Times New Roman" w:hAnsi="Segoe UI" w:cs="Segoe UI"/>
          <w:color w:val="000000"/>
          <w:sz w:val="18"/>
          <w:szCs w:val="18"/>
          <w:lang w:eastAsia="es-CO"/>
        </w:rPr>
        <w:t>Nacionale</w:t>
      </w:r>
      <w:proofErr w:type="spellEnd"/>
    </w:p>
    <w:p w:rsidR="00B42C99" w:rsidRDefault="00B42C99"/>
    <w:sectPr w:rsidR="00B42C99"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99"/>
    <w:rsid w:val="00730617"/>
    <w:rsid w:val="00A45230"/>
    <w:rsid w:val="00B42C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00FC"/>
  <w15:chartTrackingRefBased/>
  <w15:docId w15:val="{FE88DFCD-31D1-4D01-B9CB-D2930F8C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01805">
      <w:bodyDiv w:val="1"/>
      <w:marLeft w:val="0"/>
      <w:marRight w:val="0"/>
      <w:marTop w:val="0"/>
      <w:marBottom w:val="0"/>
      <w:divBdr>
        <w:top w:val="none" w:sz="0" w:space="0" w:color="auto"/>
        <w:left w:val="none" w:sz="0" w:space="0" w:color="auto"/>
        <w:bottom w:val="none" w:sz="0" w:space="0" w:color="auto"/>
        <w:right w:val="none" w:sz="0" w:space="0" w:color="auto"/>
      </w:divBdr>
    </w:div>
    <w:div w:id="1100493756">
      <w:bodyDiv w:val="1"/>
      <w:marLeft w:val="0"/>
      <w:marRight w:val="0"/>
      <w:marTop w:val="0"/>
      <w:marBottom w:val="0"/>
      <w:divBdr>
        <w:top w:val="none" w:sz="0" w:space="0" w:color="auto"/>
        <w:left w:val="none" w:sz="0" w:space="0" w:color="auto"/>
        <w:bottom w:val="none" w:sz="0" w:space="0" w:color="auto"/>
        <w:right w:val="none" w:sz="0" w:space="0" w:color="auto"/>
      </w:divBdr>
    </w:div>
    <w:div w:id="158881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1060</Words>
  <Characters>5832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2019-06-29T00:21:00Z</dcterms:created>
  <dcterms:modified xsi:type="dcterms:W3CDTF">2019-06-29T00:26:00Z</dcterms:modified>
</cp:coreProperties>
</file>